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C84D24" w14:textId="73FD1B52" w:rsidR="00A86AFD" w:rsidRDefault="0048091F" w:rsidP="0039703A">
      <w:pPr>
        <w:jc w:val="center"/>
        <w:rPr>
          <w:b/>
          <w:bCs/>
          <w:sz w:val="22"/>
          <w:szCs w:val="22"/>
        </w:rPr>
      </w:pPr>
      <w:r w:rsidRPr="00DA4459">
        <w:rPr>
          <w:b/>
          <w:bCs/>
          <w:sz w:val="22"/>
          <w:szCs w:val="22"/>
        </w:rPr>
        <w:t>ABSTRACT</w:t>
      </w:r>
    </w:p>
    <w:p w14:paraId="648E2CCA" w14:textId="5308CF48" w:rsidR="00DA4459" w:rsidRPr="00DA4459" w:rsidRDefault="004A6139" w:rsidP="0039703A">
      <w:pPr>
        <w:jc w:val="center"/>
        <w:rPr>
          <w:rFonts w:ascii="Arial" w:hAnsi="Arial" w:cs="Arial"/>
          <w:sz w:val="22"/>
          <w:szCs w:val="22"/>
        </w:rPr>
      </w:pPr>
      <w:r>
        <w:rPr>
          <w:rFonts w:ascii="Arial" w:hAnsi="Arial" w:cs="Arial"/>
          <w:color w:val="212529"/>
          <w:spacing w:val="8"/>
          <w:sz w:val="25"/>
          <w:szCs w:val="25"/>
          <w:shd w:val="clear" w:color="auto" w:fill="FFFFFF"/>
        </w:rPr>
        <w:t>Large-scale genomic studies have identified numerous disease-associated genes. However, understanding how these genetic variations influence disease requires interpreting them within the appropriate biological context such as tissue, cell type, and cellular state. Advances in transcriptomic technologies have begun to address this need by enabling systematic measurement of gene expression across diverse biological contexts, from bulk tissue to single-cell resolution. These data provide new opportunities to directly link genetic variation to the specific cellular environments in which disease processes arise. Beyond human studies, research organisms offer complementary systems for performing controlled perturbation experiments that provide insight into gene function under defined conditions. However, effectively leveraging such knowledge across species remains challenging due to their evolutionary divergence in gene function and regulatory programs. As a result, integrating information across these different sources - genetic associations, transcriptomic context, and research organism studies - requires approaches that can account for both biological context and evolutionary differences. Together, these developments highlight both the opportunity to map gene-disease associations to specific tissues, cell types, and cellular states, and the challenge of integrating heterogeneous data and resolving these relationships across biological contexts and species. The overall goal of my Ph.D. research is to leverage "</w:t>
      </w:r>
      <w:proofErr w:type="spellStart"/>
      <w:r>
        <w:rPr>
          <w:rFonts w:ascii="Arial" w:hAnsi="Arial" w:cs="Arial"/>
          <w:color w:val="212529"/>
          <w:spacing w:val="8"/>
          <w:sz w:val="25"/>
          <w:szCs w:val="25"/>
          <w:shd w:val="clear" w:color="auto" w:fill="FFFFFF"/>
        </w:rPr>
        <w:t>omic</w:t>
      </w:r>
      <w:proofErr w:type="spellEnd"/>
      <w:r>
        <w:rPr>
          <w:rFonts w:ascii="Arial" w:hAnsi="Arial" w:cs="Arial"/>
          <w:color w:val="212529"/>
          <w:spacing w:val="8"/>
          <w:sz w:val="25"/>
          <w:szCs w:val="25"/>
          <w:shd w:val="clear" w:color="auto" w:fill="FFFFFF"/>
        </w:rPr>
        <w:t xml:space="preserve">" data within and across species to achieve a contextualized understanding of gene function in disease. To this end, I have developed computational approaches that address key challenges in organizing, modeling, and integrating biological information to interpret gene-disease associations within humans, as well as extending these frameworks to enable cross-species analyses. These approaches enable the identification of disease-associated genes in a context-aware manner, disease-relevant cell populations that correspond to distinct cellular states, and how they vary across species. All code and results are publicly available through GitHub. Overall, my work advances a more precise and context-aware understanding of disease biology by enabling integrative analyses across cellular and evolutionary </w:t>
      </w:r>
      <w:r>
        <w:rPr>
          <w:rFonts w:ascii="Arial" w:hAnsi="Arial" w:cs="Arial"/>
          <w:color w:val="212529"/>
          <w:spacing w:val="8"/>
          <w:sz w:val="25"/>
          <w:szCs w:val="25"/>
          <w:shd w:val="clear" w:color="auto" w:fill="FFFFFF"/>
        </w:rPr>
        <w:t>scales. Rendering</w:t>
      </w:r>
      <w:r w:rsidR="0039703A">
        <w:rPr>
          <w:rFonts w:ascii="Arial" w:hAnsi="Arial" w:cs="Arial"/>
          <w:color w:val="212529"/>
          <w:spacing w:val="8"/>
          <w:sz w:val="25"/>
          <w:szCs w:val="25"/>
          <w:shd w:val="clear" w:color="auto" w:fill="FFFFFF"/>
        </w:rPr>
        <w:t xml:space="preserve"> cells with EP400 loss non-receptive. The variegated loss of EP400 reduced the total area available for implantation, perturbing embryo spacing and leading to crowding in receptive areas. These results support a role for EP400 in the regulation of the plasma membrane transformation from the proliferative to the secretory phase with important implications for fertility. Collectively, these models show the resilience of the </w:t>
      </w:r>
      <w:r w:rsidR="0039703A">
        <w:rPr>
          <w:rFonts w:ascii="Arial" w:hAnsi="Arial" w:cs="Arial"/>
          <w:color w:val="212529"/>
          <w:spacing w:val="8"/>
          <w:sz w:val="25"/>
          <w:szCs w:val="25"/>
          <w:shd w:val="clear" w:color="auto" w:fill="FFFFFF"/>
        </w:rPr>
        <w:lastRenderedPageBreak/>
        <w:t>endometrial epithelium to compensate for, or tolerate, loss of PIK3R1 and CHD4 without impacting epithelial structure or function. Variegated loss of EP400 led to subfertility, revealing that EP400 may be essential for endometrial epithelial function, the establishment of receptivity, and fertility.</w:t>
      </w:r>
    </w:p>
    <w:sectPr w:rsidR="00DA4459" w:rsidRPr="00DA44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2F6"/>
    <w:rsid w:val="00147042"/>
    <w:rsid w:val="001E32F6"/>
    <w:rsid w:val="001F0A55"/>
    <w:rsid w:val="0039703A"/>
    <w:rsid w:val="0048091F"/>
    <w:rsid w:val="004A6139"/>
    <w:rsid w:val="006A741B"/>
    <w:rsid w:val="00831757"/>
    <w:rsid w:val="00A86AFD"/>
    <w:rsid w:val="00B46A4D"/>
    <w:rsid w:val="00DA4459"/>
    <w:rsid w:val="00F64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7528BC5"/>
  <w15:chartTrackingRefBased/>
  <w15:docId w15:val="{A82C4B31-A601-924A-A9D5-39FA5A70E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32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32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32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32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32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32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32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32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32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2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32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32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32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32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32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32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32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32F6"/>
    <w:rPr>
      <w:rFonts w:eastAsiaTheme="majorEastAsia" w:cstheme="majorBidi"/>
      <w:color w:val="272727" w:themeColor="text1" w:themeTint="D8"/>
    </w:rPr>
  </w:style>
  <w:style w:type="paragraph" w:styleId="Title">
    <w:name w:val="Title"/>
    <w:basedOn w:val="Normal"/>
    <w:next w:val="Normal"/>
    <w:link w:val="TitleChar"/>
    <w:uiPriority w:val="10"/>
    <w:qFormat/>
    <w:rsid w:val="001E32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32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32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32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32F6"/>
    <w:pPr>
      <w:spacing w:before="160"/>
      <w:jc w:val="center"/>
    </w:pPr>
    <w:rPr>
      <w:i/>
      <w:iCs/>
      <w:color w:val="404040" w:themeColor="text1" w:themeTint="BF"/>
    </w:rPr>
  </w:style>
  <w:style w:type="character" w:customStyle="1" w:styleId="QuoteChar">
    <w:name w:val="Quote Char"/>
    <w:basedOn w:val="DefaultParagraphFont"/>
    <w:link w:val="Quote"/>
    <w:uiPriority w:val="29"/>
    <w:rsid w:val="001E32F6"/>
    <w:rPr>
      <w:i/>
      <w:iCs/>
      <w:color w:val="404040" w:themeColor="text1" w:themeTint="BF"/>
    </w:rPr>
  </w:style>
  <w:style w:type="paragraph" w:styleId="ListParagraph">
    <w:name w:val="List Paragraph"/>
    <w:basedOn w:val="Normal"/>
    <w:uiPriority w:val="34"/>
    <w:qFormat/>
    <w:rsid w:val="001E32F6"/>
    <w:pPr>
      <w:ind w:left="720"/>
      <w:contextualSpacing/>
    </w:pPr>
  </w:style>
  <w:style w:type="character" w:styleId="IntenseEmphasis">
    <w:name w:val="Intense Emphasis"/>
    <w:basedOn w:val="DefaultParagraphFont"/>
    <w:uiPriority w:val="21"/>
    <w:qFormat/>
    <w:rsid w:val="001E32F6"/>
    <w:rPr>
      <w:i/>
      <w:iCs/>
      <w:color w:val="0F4761" w:themeColor="accent1" w:themeShade="BF"/>
    </w:rPr>
  </w:style>
  <w:style w:type="paragraph" w:styleId="IntenseQuote">
    <w:name w:val="Intense Quote"/>
    <w:basedOn w:val="Normal"/>
    <w:next w:val="Normal"/>
    <w:link w:val="IntenseQuoteChar"/>
    <w:uiPriority w:val="30"/>
    <w:qFormat/>
    <w:rsid w:val="001E32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32F6"/>
    <w:rPr>
      <w:i/>
      <w:iCs/>
      <w:color w:val="0F4761" w:themeColor="accent1" w:themeShade="BF"/>
    </w:rPr>
  </w:style>
  <w:style w:type="character" w:styleId="IntenseReference">
    <w:name w:val="Intense Reference"/>
    <w:basedOn w:val="DefaultParagraphFont"/>
    <w:uiPriority w:val="32"/>
    <w:qFormat/>
    <w:rsid w:val="001E32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2</Pages>
  <Words>461</Words>
  <Characters>2634</Characters>
  <Application>Microsoft Office Word</Application>
  <DocSecurity>0</DocSecurity>
  <Lines>21</Lines>
  <Paragraphs>6</Paragraphs>
  <ScaleCrop>false</ScaleCrop>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Styles, Nadya</dc:creator>
  <cp:keywords/>
  <dc:description/>
  <cp:lastModifiedBy>Styles, Nadya</cp:lastModifiedBy>
  <cp:revision>7</cp:revision>
  <dcterms:created xsi:type="dcterms:W3CDTF">2026-10-07T16:55:00Z</dcterms:created>
  <dcterms:modified xsi:type="dcterms:W3CDTF">2026-10-08T16:28:00Z</dcterms:modified>
</cp:coreProperties>
</file>