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C84D24" w14:textId="73FD1B52" w:rsidR="00A86AFD" w:rsidRDefault="0048091F" w:rsidP="0039703A">
      <w:pPr>
        <w:jc w:val="center"/>
        <w:rPr>
          <w:b/>
          <w:bCs/>
          <w:sz w:val="22"/>
          <w:szCs w:val="22"/>
        </w:rPr>
      </w:pPr>
      <w:r w:rsidRPr="00DA4459">
        <w:rPr>
          <w:b/>
          <w:bCs/>
          <w:sz w:val="22"/>
          <w:szCs w:val="22"/>
        </w:rPr>
        <w:t>ABSTRACT</w:t>
      </w:r>
    </w:p>
    <w:p w14:paraId="648E2CCA" w14:textId="1CD184A2" w:rsidR="00DA4459" w:rsidRPr="00DA4459" w:rsidRDefault="00490CA9" w:rsidP="0039703A">
      <w:pPr>
        <w:jc w:val="center"/>
        <w:rPr>
          <w:rFonts w:ascii="Arial" w:hAnsi="Arial" w:cs="Arial"/>
          <w:sz w:val="22"/>
          <w:szCs w:val="22"/>
        </w:rPr>
      </w:pPr>
      <w:r>
        <w:rPr>
          <w:rFonts w:ascii="Arial" w:hAnsi="Arial" w:cs="Arial"/>
          <w:color w:val="212529"/>
          <w:spacing w:val="8"/>
          <w:sz w:val="25"/>
          <w:szCs w:val="25"/>
          <w:shd w:val="clear" w:color="auto" w:fill="FFFFFF"/>
        </w:rPr>
        <w:t xml:space="preserve">Modern genetics has generated an abundance of genomic data for plants. Coupled with the increasing affordability, power, and sophistication of computational hardware and analysis methods, these advances enable previously infeasible experiments, particularly for non-model species such as agricultural weeds. Such research is vital for both understanding plant biology and protecting global food </w:t>
      </w:r>
      <w:proofErr w:type="spellStart"/>
      <w:proofErr w:type="gramStart"/>
      <w:r>
        <w:rPr>
          <w:rFonts w:ascii="Arial" w:hAnsi="Arial" w:cs="Arial"/>
          <w:color w:val="212529"/>
          <w:spacing w:val="8"/>
          <w:sz w:val="25"/>
          <w:szCs w:val="25"/>
          <w:shd w:val="clear" w:color="auto" w:fill="FFFFFF"/>
        </w:rPr>
        <w:t>security.This</w:t>
      </w:r>
      <w:proofErr w:type="spellEnd"/>
      <w:proofErr w:type="gramEnd"/>
      <w:r>
        <w:rPr>
          <w:rFonts w:ascii="Arial" w:hAnsi="Arial" w:cs="Arial"/>
          <w:color w:val="212529"/>
          <w:spacing w:val="8"/>
          <w:sz w:val="25"/>
          <w:szCs w:val="25"/>
          <w:shd w:val="clear" w:color="auto" w:fill="FFFFFF"/>
        </w:rPr>
        <w:t xml:space="preserve"> dissertation examines rapid adaptation to herbicides in agricultural weeds, polyploid genome evolution, and cross-species gene regulatory conservation. By integrating chromosome-level genome assemblies, population genomics, evolutionary rate analysis, and deep learning-based gene regulatory modeling, this work provides new insights in plant genomics and evolution and public computational tools for replicating these methods in future </w:t>
      </w:r>
      <w:proofErr w:type="spellStart"/>
      <w:proofErr w:type="gramStart"/>
      <w:r>
        <w:rPr>
          <w:rFonts w:ascii="Arial" w:hAnsi="Arial" w:cs="Arial"/>
          <w:color w:val="212529"/>
          <w:spacing w:val="8"/>
          <w:sz w:val="25"/>
          <w:szCs w:val="25"/>
          <w:shd w:val="clear" w:color="auto" w:fill="FFFFFF"/>
        </w:rPr>
        <w:t>research.Chapter</w:t>
      </w:r>
      <w:proofErr w:type="spellEnd"/>
      <w:proofErr w:type="gramEnd"/>
      <w:r>
        <w:rPr>
          <w:rFonts w:ascii="Arial" w:hAnsi="Arial" w:cs="Arial"/>
          <w:color w:val="212529"/>
          <w:spacing w:val="8"/>
          <w:sz w:val="25"/>
          <w:szCs w:val="25"/>
          <w:shd w:val="clear" w:color="auto" w:fill="FFFFFF"/>
        </w:rPr>
        <w:t xml:space="preserve"> 1 synthesizes current knowledge of structural variation as a driver of herbicide resistance evolution in weeds. While resistance is often framed in terms of single nucleotide substitutions, increasing evidence demonstrates that copy number variation, extrachromosomal circular DNA, transposable element insertions, and chromosomal rearrangements repeatedly underlie resistance phenotypes across diverse taxa. This review establishes structural variation not as an exception, but as a recurring and predictable mechanism of adaptation under strong selection and identifies key gaps in understanding how such variants originate and </w:t>
      </w:r>
      <w:proofErr w:type="spellStart"/>
      <w:proofErr w:type="gramStart"/>
      <w:r>
        <w:rPr>
          <w:rFonts w:ascii="Arial" w:hAnsi="Arial" w:cs="Arial"/>
          <w:color w:val="212529"/>
          <w:spacing w:val="8"/>
          <w:sz w:val="25"/>
          <w:szCs w:val="25"/>
          <w:shd w:val="clear" w:color="auto" w:fill="FFFFFF"/>
        </w:rPr>
        <w:t>spread.Chapter</w:t>
      </w:r>
      <w:proofErr w:type="spellEnd"/>
      <w:proofErr w:type="gramEnd"/>
      <w:r>
        <w:rPr>
          <w:rFonts w:ascii="Arial" w:hAnsi="Arial" w:cs="Arial"/>
          <w:color w:val="212529"/>
          <w:spacing w:val="8"/>
          <w:sz w:val="25"/>
          <w:szCs w:val="25"/>
          <w:shd w:val="clear" w:color="auto" w:fill="FFFFFF"/>
        </w:rPr>
        <w:t xml:space="preserve"> 2 investigates one such mechanism in detail by resolving the genomic architecture of glyphosate resistance in Eleusine indica. We generated chromosome-scale reference genomes for glyphosate-susceptible and glyphosate-resistant individuals and identified the full structural configuration of a 5-enolpyruvylshikimate-3-phosphate synthase (EPSPS) copy number amplification event. In glyphosate-resistant individuals, the EPSPS locus and a distant region are translocated to the </w:t>
      </w:r>
      <w:proofErr w:type="spellStart"/>
      <w:r>
        <w:rPr>
          <w:rFonts w:ascii="Arial" w:hAnsi="Arial" w:cs="Arial"/>
          <w:color w:val="212529"/>
          <w:spacing w:val="8"/>
          <w:sz w:val="25"/>
          <w:szCs w:val="25"/>
          <w:shd w:val="clear" w:color="auto" w:fill="FFFFFF"/>
        </w:rPr>
        <w:t>subtelomere</w:t>
      </w:r>
      <w:proofErr w:type="spellEnd"/>
      <w:r>
        <w:rPr>
          <w:rFonts w:ascii="Arial" w:hAnsi="Arial" w:cs="Arial"/>
          <w:color w:val="212529"/>
          <w:spacing w:val="8"/>
          <w:sz w:val="25"/>
          <w:szCs w:val="25"/>
          <w:shd w:val="clear" w:color="auto" w:fill="FFFFFF"/>
        </w:rPr>
        <w:t xml:space="preserve"> region, fused, and subsequently amplified approximately 25-fold. Population resequencing confirms consistent co-duplication of the fused regions across resistant individuals. These findings identify </w:t>
      </w:r>
      <w:proofErr w:type="spellStart"/>
      <w:r>
        <w:rPr>
          <w:rFonts w:ascii="Arial" w:hAnsi="Arial" w:cs="Arial"/>
          <w:color w:val="212529"/>
          <w:spacing w:val="8"/>
          <w:sz w:val="25"/>
          <w:szCs w:val="25"/>
          <w:shd w:val="clear" w:color="auto" w:fill="FFFFFF"/>
        </w:rPr>
        <w:t>subtelomeres</w:t>
      </w:r>
      <w:proofErr w:type="spellEnd"/>
      <w:r>
        <w:rPr>
          <w:rFonts w:ascii="Arial" w:hAnsi="Arial" w:cs="Arial"/>
          <w:color w:val="212529"/>
          <w:spacing w:val="8"/>
          <w:sz w:val="25"/>
          <w:szCs w:val="25"/>
          <w:shd w:val="clear" w:color="auto" w:fill="FFFFFF"/>
        </w:rPr>
        <w:t xml:space="preserve"> as dynamic recombinational environments capable of facilitating adaptive copy number variation formation and reveal a mechanistic pathway by which genome architecture generates herbicide resistance under repeated </w:t>
      </w:r>
      <w:proofErr w:type="spellStart"/>
      <w:proofErr w:type="gramStart"/>
      <w:r>
        <w:rPr>
          <w:rFonts w:ascii="Arial" w:hAnsi="Arial" w:cs="Arial"/>
          <w:color w:val="212529"/>
          <w:spacing w:val="8"/>
          <w:sz w:val="25"/>
          <w:szCs w:val="25"/>
          <w:shd w:val="clear" w:color="auto" w:fill="FFFFFF"/>
        </w:rPr>
        <w:t>selection.Chapter</w:t>
      </w:r>
      <w:proofErr w:type="spellEnd"/>
      <w:proofErr w:type="gramEnd"/>
      <w:r>
        <w:rPr>
          <w:rFonts w:ascii="Arial" w:hAnsi="Arial" w:cs="Arial"/>
          <w:color w:val="212529"/>
          <w:spacing w:val="8"/>
          <w:sz w:val="25"/>
          <w:szCs w:val="25"/>
          <w:shd w:val="clear" w:color="auto" w:fill="FFFFFF"/>
        </w:rPr>
        <w:t xml:space="preserve"> 3 expands from locus-scale structural change to whole-genome evolutionary dynamics in allohexaploid Chenopodium species. Using chromosome-level assemblies, long terminal repeat (LTR) insertion age analysis, and a newly developed </w:t>
      </w:r>
      <w:proofErr w:type="spellStart"/>
      <w:r>
        <w:rPr>
          <w:rFonts w:ascii="Arial" w:hAnsi="Arial" w:cs="Arial"/>
          <w:color w:val="212529"/>
          <w:spacing w:val="8"/>
          <w:sz w:val="25"/>
          <w:szCs w:val="25"/>
          <w:shd w:val="clear" w:color="auto" w:fill="FFFFFF"/>
        </w:rPr>
        <w:t>dN</w:t>
      </w:r>
      <w:proofErr w:type="spellEnd"/>
      <w:r>
        <w:rPr>
          <w:rFonts w:ascii="Arial" w:hAnsi="Arial" w:cs="Arial"/>
          <w:color w:val="212529"/>
          <w:spacing w:val="8"/>
          <w:sz w:val="25"/>
          <w:szCs w:val="25"/>
          <w:shd w:val="clear" w:color="auto" w:fill="FFFFFF"/>
        </w:rPr>
        <w:t>/</w:t>
      </w:r>
      <w:proofErr w:type="spellStart"/>
      <w:r>
        <w:rPr>
          <w:rFonts w:ascii="Arial" w:hAnsi="Arial" w:cs="Arial"/>
          <w:color w:val="212529"/>
          <w:spacing w:val="8"/>
          <w:sz w:val="25"/>
          <w:szCs w:val="25"/>
          <w:shd w:val="clear" w:color="auto" w:fill="FFFFFF"/>
        </w:rPr>
        <w:t>dS</w:t>
      </w:r>
      <w:proofErr w:type="spellEnd"/>
      <w:r>
        <w:rPr>
          <w:rFonts w:ascii="Arial" w:hAnsi="Arial" w:cs="Arial"/>
          <w:color w:val="212529"/>
          <w:spacing w:val="8"/>
          <w:sz w:val="25"/>
          <w:szCs w:val="25"/>
          <w:shd w:val="clear" w:color="auto" w:fill="FFFFFF"/>
        </w:rPr>
        <w:t xml:space="preserve"> analysis framework (</w:t>
      </w:r>
      <w:proofErr w:type="spellStart"/>
      <w:r>
        <w:rPr>
          <w:rFonts w:ascii="Arial" w:hAnsi="Arial" w:cs="Arial"/>
          <w:color w:val="212529"/>
          <w:spacing w:val="8"/>
          <w:sz w:val="25"/>
          <w:szCs w:val="25"/>
          <w:shd w:val="clear" w:color="auto" w:fill="FFFFFF"/>
        </w:rPr>
        <w:t>dndsR</w:t>
      </w:r>
      <w:proofErr w:type="spellEnd"/>
      <w:r>
        <w:rPr>
          <w:rFonts w:ascii="Arial" w:hAnsi="Arial" w:cs="Arial"/>
          <w:color w:val="212529"/>
          <w:spacing w:val="8"/>
          <w:sz w:val="25"/>
          <w:szCs w:val="25"/>
          <w:shd w:val="clear" w:color="auto" w:fill="FFFFFF"/>
        </w:rPr>
        <w:t xml:space="preserve">), I quantify repeat and coding </w:t>
      </w:r>
      <w:r>
        <w:rPr>
          <w:rFonts w:ascii="Arial" w:hAnsi="Arial" w:cs="Arial"/>
          <w:color w:val="212529"/>
          <w:spacing w:val="8"/>
          <w:sz w:val="25"/>
          <w:szCs w:val="25"/>
          <w:shd w:val="clear" w:color="auto" w:fill="FFFFFF"/>
        </w:rPr>
        <w:lastRenderedPageBreak/>
        <w:t xml:space="preserve">sequence divergence between </w:t>
      </w:r>
      <w:proofErr w:type="spellStart"/>
      <w:r>
        <w:rPr>
          <w:rFonts w:ascii="Arial" w:hAnsi="Arial" w:cs="Arial"/>
          <w:color w:val="212529"/>
          <w:spacing w:val="8"/>
          <w:sz w:val="25"/>
          <w:szCs w:val="25"/>
          <w:shd w:val="clear" w:color="auto" w:fill="FFFFFF"/>
        </w:rPr>
        <w:t>subgenomes</w:t>
      </w:r>
      <w:proofErr w:type="spellEnd"/>
      <w:r>
        <w:rPr>
          <w:rFonts w:ascii="Arial" w:hAnsi="Arial" w:cs="Arial"/>
          <w:color w:val="212529"/>
          <w:spacing w:val="8"/>
          <w:sz w:val="25"/>
          <w:szCs w:val="25"/>
          <w:shd w:val="clear" w:color="auto" w:fill="FFFFFF"/>
        </w:rPr>
        <w:t xml:space="preserve"> within each genome. This work found that </w:t>
      </w:r>
      <w:proofErr w:type="spellStart"/>
      <w:r>
        <w:rPr>
          <w:rFonts w:ascii="Arial" w:hAnsi="Arial" w:cs="Arial"/>
          <w:color w:val="212529"/>
          <w:spacing w:val="8"/>
          <w:sz w:val="25"/>
          <w:szCs w:val="25"/>
          <w:shd w:val="clear" w:color="auto" w:fill="FFFFFF"/>
        </w:rPr>
        <w:t>subgenomes</w:t>
      </w:r>
      <w:proofErr w:type="spellEnd"/>
      <w:r>
        <w:rPr>
          <w:rFonts w:ascii="Arial" w:hAnsi="Arial" w:cs="Arial"/>
          <w:color w:val="212529"/>
          <w:spacing w:val="8"/>
          <w:sz w:val="25"/>
          <w:szCs w:val="25"/>
          <w:shd w:val="clear" w:color="auto" w:fill="FFFFFF"/>
        </w:rPr>
        <w:t xml:space="preserve"> maintain a stable asymmetry in gene and repeat density, average LTR insertion age, and coding divergence across three independent assemblies from two Chenopodium </w:t>
      </w:r>
      <w:proofErr w:type="spellStart"/>
      <w:proofErr w:type="gramStart"/>
      <w:r>
        <w:rPr>
          <w:rFonts w:ascii="Arial" w:hAnsi="Arial" w:cs="Arial"/>
          <w:color w:val="212529"/>
          <w:spacing w:val="8"/>
          <w:sz w:val="25"/>
          <w:szCs w:val="25"/>
          <w:shd w:val="clear" w:color="auto" w:fill="FFFFFF"/>
        </w:rPr>
        <w:t>species.Chapter</w:t>
      </w:r>
      <w:proofErr w:type="spellEnd"/>
      <w:proofErr w:type="gramEnd"/>
      <w:r>
        <w:rPr>
          <w:rFonts w:ascii="Arial" w:hAnsi="Arial" w:cs="Arial"/>
          <w:color w:val="212529"/>
          <w:spacing w:val="8"/>
          <w:sz w:val="25"/>
          <w:szCs w:val="25"/>
          <w:shd w:val="clear" w:color="auto" w:fill="FFFFFF"/>
        </w:rPr>
        <w:t xml:space="preserve"> 4 extends the investigation of genome architecture into the gene regulatory domain by evaluating cross-species transfer of deep learning models trained on mammalian regulatory data to plants. Through zero-shot prediction and fine-tuning in Arabidopsis thaliana, I demonstrate that conserved regulatory logic can be recovered across substantial phylogenetic distance, suggesting that aspects of cis-regulatory grammar are evolutionarily stable despite extensive sequence divergence. These results illustrate how computational modeling can uncover conserved architectural principles governing gene regulation and provide a scalable framework for comparative regulatory </w:t>
      </w:r>
      <w:proofErr w:type="spellStart"/>
      <w:proofErr w:type="gramStart"/>
      <w:r>
        <w:rPr>
          <w:rFonts w:ascii="Arial" w:hAnsi="Arial" w:cs="Arial"/>
          <w:color w:val="212529"/>
          <w:spacing w:val="8"/>
          <w:sz w:val="25"/>
          <w:szCs w:val="25"/>
          <w:shd w:val="clear" w:color="auto" w:fill="FFFFFF"/>
        </w:rPr>
        <w:t>genomics.By</w:t>
      </w:r>
      <w:proofErr w:type="spellEnd"/>
      <w:proofErr w:type="gramEnd"/>
      <w:r>
        <w:rPr>
          <w:rFonts w:ascii="Arial" w:hAnsi="Arial" w:cs="Arial"/>
          <w:color w:val="212529"/>
          <w:spacing w:val="8"/>
          <w:sz w:val="25"/>
          <w:szCs w:val="25"/>
          <w:shd w:val="clear" w:color="auto" w:fill="FFFFFF"/>
        </w:rPr>
        <w:t xml:space="preserve"> integrating mechanistic genomics, evolutionary analysis, and deep learning, this dissertation advances our understanding of how plant genomes evolve and provides scalable computational tools for researching plant genomics and evolution.</w:t>
      </w:r>
    </w:p>
    <w:sectPr w:rsidR="00DA4459" w:rsidRPr="00DA4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2F6"/>
    <w:rsid w:val="00147042"/>
    <w:rsid w:val="001E32F6"/>
    <w:rsid w:val="001F0A55"/>
    <w:rsid w:val="0039703A"/>
    <w:rsid w:val="0048091F"/>
    <w:rsid w:val="00490CA9"/>
    <w:rsid w:val="004A6139"/>
    <w:rsid w:val="006A741B"/>
    <w:rsid w:val="00831757"/>
    <w:rsid w:val="00876125"/>
    <w:rsid w:val="00A86AFD"/>
    <w:rsid w:val="00B46A4D"/>
    <w:rsid w:val="00DA4459"/>
    <w:rsid w:val="00F64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528BC5"/>
  <w15:chartTrackingRefBased/>
  <w15:docId w15:val="{A82C4B31-A601-924A-A9D5-39FA5A70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2F6"/>
    <w:rPr>
      <w:rFonts w:eastAsiaTheme="majorEastAsia" w:cstheme="majorBidi"/>
      <w:color w:val="272727" w:themeColor="text1" w:themeTint="D8"/>
    </w:rPr>
  </w:style>
  <w:style w:type="paragraph" w:styleId="Title">
    <w:name w:val="Title"/>
    <w:basedOn w:val="Normal"/>
    <w:next w:val="Normal"/>
    <w:link w:val="TitleChar"/>
    <w:uiPriority w:val="10"/>
    <w:qFormat/>
    <w:rsid w:val="001E3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2F6"/>
    <w:pPr>
      <w:spacing w:before="160"/>
      <w:jc w:val="center"/>
    </w:pPr>
    <w:rPr>
      <w:i/>
      <w:iCs/>
      <w:color w:val="404040" w:themeColor="text1" w:themeTint="BF"/>
    </w:rPr>
  </w:style>
  <w:style w:type="character" w:customStyle="1" w:styleId="QuoteChar">
    <w:name w:val="Quote Char"/>
    <w:basedOn w:val="DefaultParagraphFont"/>
    <w:link w:val="Quote"/>
    <w:uiPriority w:val="29"/>
    <w:rsid w:val="001E32F6"/>
    <w:rPr>
      <w:i/>
      <w:iCs/>
      <w:color w:val="404040" w:themeColor="text1" w:themeTint="BF"/>
    </w:rPr>
  </w:style>
  <w:style w:type="paragraph" w:styleId="ListParagraph">
    <w:name w:val="List Paragraph"/>
    <w:basedOn w:val="Normal"/>
    <w:uiPriority w:val="34"/>
    <w:qFormat/>
    <w:rsid w:val="001E32F6"/>
    <w:pPr>
      <w:ind w:left="720"/>
      <w:contextualSpacing/>
    </w:pPr>
  </w:style>
  <w:style w:type="character" w:styleId="IntenseEmphasis">
    <w:name w:val="Intense Emphasis"/>
    <w:basedOn w:val="DefaultParagraphFont"/>
    <w:uiPriority w:val="21"/>
    <w:qFormat/>
    <w:rsid w:val="001E32F6"/>
    <w:rPr>
      <w:i/>
      <w:iCs/>
      <w:color w:val="0F4761" w:themeColor="accent1" w:themeShade="BF"/>
    </w:rPr>
  </w:style>
  <w:style w:type="paragraph" w:styleId="IntenseQuote">
    <w:name w:val="Intense Quote"/>
    <w:basedOn w:val="Normal"/>
    <w:next w:val="Normal"/>
    <w:link w:val="IntenseQuoteChar"/>
    <w:uiPriority w:val="30"/>
    <w:qFormat/>
    <w:rsid w:val="001E3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2F6"/>
    <w:rPr>
      <w:i/>
      <w:iCs/>
      <w:color w:val="0F4761" w:themeColor="accent1" w:themeShade="BF"/>
    </w:rPr>
  </w:style>
  <w:style w:type="character" w:styleId="IntenseReference">
    <w:name w:val="Intense Reference"/>
    <w:basedOn w:val="DefaultParagraphFont"/>
    <w:uiPriority w:val="32"/>
    <w:qFormat/>
    <w:rsid w:val="001E32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Styles, Nadya</dc:creator>
  <cp:keywords/>
  <dc:description/>
  <cp:lastModifiedBy>Styles, Nadya</cp:lastModifiedBy>
  <cp:revision>9</cp:revision>
  <dcterms:created xsi:type="dcterms:W3CDTF">2026-10-07T16:55:00Z</dcterms:created>
  <dcterms:modified xsi:type="dcterms:W3CDTF">2026-10-08T17:41:00Z</dcterms:modified>
</cp:coreProperties>
</file>